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8D3" w:rsidRPr="0050080F" w:rsidRDefault="009A08D3" w:rsidP="0050080F">
      <w:pPr>
        <w:spacing w:line="360" w:lineRule="auto"/>
        <w:rPr>
          <w:rFonts w:ascii="Times New Roman" w:hAnsi="Times New Roman" w:cs="Times New Roman"/>
          <w:b/>
          <w:sz w:val="24"/>
        </w:rPr>
      </w:pPr>
      <w:r w:rsidRPr="0050080F">
        <w:rPr>
          <w:rFonts w:ascii="Times New Roman" w:hAnsi="Times New Roman" w:cs="Times New Roman"/>
          <w:b/>
          <w:sz w:val="24"/>
        </w:rPr>
        <w:t>A. LİDERLİK, YÖNETİŞİM VE KALİTE</w:t>
      </w:r>
    </w:p>
    <w:p w:rsidR="009A08D3" w:rsidRPr="0050080F" w:rsidRDefault="009A08D3" w:rsidP="0050080F">
      <w:pPr>
        <w:spacing w:line="360" w:lineRule="auto"/>
        <w:rPr>
          <w:rFonts w:ascii="Times New Roman" w:hAnsi="Times New Roman" w:cs="Times New Roman"/>
          <w:b/>
          <w:sz w:val="24"/>
        </w:rPr>
      </w:pPr>
      <w:r w:rsidRPr="0050080F">
        <w:rPr>
          <w:rFonts w:ascii="Times New Roman" w:hAnsi="Times New Roman" w:cs="Times New Roman"/>
          <w:b/>
          <w:sz w:val="24"/>
        </w:rPr>
        <w:t>1. Liderlik ve Kalite</w:t>
      </w:r>
    </w:p>
    <w:p w:rsidR="009A08D3" w:rsidRPr="0050080F" w:rsidRDefault="009A08D3" w:rsidP="0050080F">
      <w:pPr>
        <w:spacing w:line="360" w:lineRule="auto"/>
        <w:rPr>
          <w:rFonts w:ascii="Times New Roman" w:hAnsi="Times New Roman" w:cs="Times New Roman"/>
          <w:b/>
          <w:sz w:val="24"/>
        </w:rPr>
      </w:pPr>
      <w:r w:rsidRPr="0050080F">
        <w:rPr>
          <w:rFonts w:ascii="Times New Roman" w:hAnsi="Times New Roman" w:cs="Times New Roman"/>
          <w:b/>
          <w:sz w:val="24"/>
        </w:rPr>
        <w:t>A.</w:t>
      </w:r>
      <w:proofErr w:type="gramStart"/>
      <w:r w:rsidRPr="0050080F">
        <w:rPr>
          <w:rFonts w:ascii="Times New Roman" w:hAnsi="Times New Roman" w:cs="Times New Roman"/>
          <w:b/>
          <w:sz w:val="24"/>
        </w:rPr>
        <w:t>1.4</w:t>
      </w:r>
      <w:proofErr w:type="gramEnd"/>
      <w:r w:rsidRPr="0050080F">
        <w:rPr>
          <w:rFonts w:ascii="Times New Roman" w:hAnsi="Times New Roman" w:cs="Times New Roman"/>
          <w:b/>
          <w:sz w:val="24"/>
        </w:rPr>
        <w:t>. İç kalite güvencesi mekanizmaları</w:t>
      </w:r>
    </w:p>
    <w:p w:rsidR="00BF33C1" w:rsidRPr="0050080F" w:rsidRDefault="009A08D3" w:rsidP="0050080F">
      <w:pPr>
        <w:spacing w:line="360" w:lineRule="auto"/>
        <w:jc w:val="both"/>
        <w:rPr>
          <w:rFonts w:ascii="Times New Roman" w:hAnsi="Times New Roman" w:cs="Times New Roman"/>
          <w:sz w:val="24"/>
        </w:rPr>
      </w:pPr>
      <w:r w:rsidRPr="0050080F">
        <w:rPr>
          <w:rFonts w:ascii="Times New Roman" w:hAnsi="Times New Roman" w:cs="Times New Roman"/>
          <w:sz w:val="24"/>
        </w:rPr>
        <w:t>Üniversitemiz, tüm süreçler için geçerli, tanımlı ve ilan edilmiş kalite p</w:t>
      </w:r>
      <w:r w:rsidR="00BF33C1" w:rsidRPr="0050080F">
        <w:rPr>
          <w:rFonts w:ascii="Times New Roman" w:hAnsi="Times New Roman" w:cs="Times New Roman"/>
          <w:sz w:val="24"/>
        </w:rPr>
        <w:t xml:space="preserve">olitikalarına sahiptir </w:t>
      </w:r>
      <w:r w:rsidR="00BF33C1" w:rsidRPr="0003570B">
        <w:rPr>
          <w:rFonts w:ascii="Times New Roman" w:hAnsi="Times New Roman" w:cs="Times New Roman"/>
          <w:sz w:val="24"/>
          <w:highlight w:val="yellow"/>
        </w:rPr>
        <w:t>(A.1.4.1</w:t>
      </w:r>
      <w:r w:rsidRPr="0003570B">
        <w:rPr>
          <w:rFonts w:ascii="Times New Roman" w:hAnsi="Times New Roman" w:cs="Times New Roman"/>
          <w:sz w:val="24"/>
          <w:highlight w:val="yellow"/>
        </w:rPr>
        <w:t>).</w:t>
      </w:r>
      <w:r w:rsidRPr="0050080F">
        <w:rPr>
          <w:rFonts w:ascii="Times New Roman" w:hAnsi="Times New Roman" w:cs="Times New Roman"/>
          <w:sz w:val="24"/>
        </w:rPr>
        <w:t xml:space="preserve"> Geleceğe yönelik amaç ve hedeflerimizin belirlenmesinde bir yönetim aracı olan Üniversitemiz Stratejik Planında, farklı faaliyet alanlarına yönelik geliştirilen her bir amaç kapsamında politikalara vurgu yapılarak, hedeflerin ölçülmesine yönelik göstergeler eklenerek, politikaların izlenmesi, karar alma süreçlerinin iyileştirilmesi ve performanslarının artırıl</w:t>
      </w:r>
      <w:r w:rsidR="00321820" w:rsidRPr="0050080F">
        <w:rPr>
          <w:rFonts w:ascii="Times New Roman" w:hAnsi="Times New Roman" w:cs="Times New Roman"/>
          <w:sz w:val="24"/>
        </w:rPr>
        <w:t xml:space="preserve">ması amaçlanmıştır(A.1.4.2). </w:t>
      </w:r>
      <w:r w:rsidRPr="0050080F">
        <w:rPr>
          <w:rFonts w:ascii="Times New Roman" w:hAnsi="Times New Roman" w:cs="Times New Roman"/>
          <w:sz w:val="24"/>
        </w:rPr>
        <w:t xml:space="preserve"> Stratejik Planda yer alan hedeflerin sistematik ve nesnel biçimde ölçülebilmesi amacıyla belirlenen her bir hedef için geliştirilen performans göstergele</w:t>
      </w:r>
      <w:r w:rsidR="00F77325">
        <w:rPr>
          <w:rFonts w:ascii="Times New Roman" w:hAnsi="Times New Roman" w:cs="Times New Roman"/>
          <w:sz w:val="24"/>
        </w:rPr>
        <w:t xml:space="preserve">rine ilişkin gerçekleşmeler </w:t>
      </w:r>
      <w:proofErr w:type="gramStart"/>
      <w:r w:rsidR="00F77325">
        <w:rPr>
          <w:rFonts w:ascii="Times New Roman" w:hAnsi="Times New Roman" w:cs="Times New Roman"/>
          <w:sz w:val="24"/>
        </w:rPr>
        <w:t xml:space="preserve">yıl </w:t>
      </w:r>
      <w:r w:rsidRPr="0050080F">
        <w:rPr>
          <w:rFonts w:ascii="Times New Roman" w:hAnsi="Times New Roman" w:cs="Times New Roman"/>
          <w:sz w:val="24"/>
        </w:rPr>
        <w:t>sonu</w:t>
      </w:r>
      <w:proofErr w:type="gramEnd"/>
      <w:r w:rsidRPr="0050080F">
        <w:rPr>
          <w:rFonts w:ascii="Times New Roman" w:hAnsi="Times New Roman" w:cs="Times New Roman"/>
          <w:sz w:val="24"/>
        </w:rPr>
        <w:t xml:space="preserve"> itibarıyl</w:t>
      </w:r>
      <w:r w:rsidR="00BF33C1" w:rsidRPr="0050080F">
        <w:rPr>
          <w:rFonts w:ascii="Times New Roman" w:hAnsi="Times New Roman" w:cs="Times New Roman"/>
          <w:sz w:val="24"/>
        </w:rPr>
        <w:t>a değerlendirilmekte</w:t>
      </w:r>
      <w:r w:rsidR="003C6701" w:rsidRPr="0050080F">
        <w:rPr>
          <w:rFonts w:ascii="Times New Roman" w:hAnsi="Times New Roman" w:cs="Times New Roman"/>
          <w:sz w:val="24"/>
        </w:rPr>
        <w:t xml:space="preserve"> ve birimlere geri bildirim yapılmaktadır</w:t>
      </w:r>
      <w:r w:rsidR="00BF33C1" w:rsidRPr="0050080F">
        <w:rPr>
          <w:rFonts w:ascii="Times New Roman" w:hAnsi="Times New Roman" w:cs="Times New Roman"/>
          <w:sz w:val="24"/>
        </w:rPr>
        <w:t xml:space="preserve"> </w:t>
      </w:r>
      <w:r w:rsidR="00321820" w:rsidRPr="0050080F">
        <w:rPr>
          <w:rFonts w:ascii="Times New Roman" w:hAnsi="Times New Roman" w:cs="Times New Roman"/>
          <w:sz w:val="24"/>
        </w:rPr>
        <w:t>(A.1.4.3</w:t>
      </w:r>
      <w:r w:rsidRPr="0050080F">
        <w:rPr>
          <w:rFonts w:ascii="Times New Roman" w:hAnsi="Times New Roman" w:cs="Times New Roman"/>
          <w:sz w:val="24"/>
        </w:rPr>
        <w:t xml:space="preserve">). </w:t>
      </w:r>
    </w:p>
    <w:p w:rsidR="009A08D3" w:rsidRPr="0050080F" w:rsidRDefault="009A08D3" w:rsidP="0050080F">
      <w:pPr>
        <w:spacing w:line="360" w:lineRule="auto"/>
        <w:jc w:val="both"/>
        <w:rPr>
          <w:rFonts w:ascii="Times New Roman" w:hAnsi="Times New Roman" w:cs="Times New Roman"/>
          <w:sz w:val="24"/>
        </w:rPr>
      </w:pPr>
      <w:proofErr w:type="gramStart"/>
      <w:r w:rsidRPr="0050080F">
        <w:rPr>
          <w:rFonts w:ascii="Times New Roman" w:hAnsi="Times New Roman" w:cs="Times New Roman"/>
          <w:sz w:val="24"/>
        </w:rPr>
        <w:t xml:space="preserve">Selçuk </w:t>
      </w:r>
      <w:proofErr w:type="spellStart"/>
      <w:r w:rsidRPr="0050080F">
        <w:rPr>
          <w:rFonts w:ascii="Times New Roman" w:hAnsi="Times New Roman" w:cs="Times New Roman"/>
          <w:sz w:val="24"/>
        </w:rPr>
        <w:t>Üniversitesi’nin</w:t>
      </w:r>
      <w:proofErr w:type="spellEnd"/>
      <w:r w:rsidRPr="0050080F">
        <w:rPr>
          <w:rFonts w:ascii="Times New Roman" w:hAnsi="Times New Roman" w:cs="Times New Roman"/>
          <w:sz w:val="24"/>
        </w:rPr>
        <w:t xml:space="preserve"> kalite </w:t>
      </w:r>
      <w:proofErr w:type="spellStart"/>
      <w:r w:rsidRPr="0050080F">
        <w:rPr>
          <w:rFonts w:ascii="Times New Roman" w:hAnsi="Times New Roman" w:cs="Times New Roman"/>
          <w:sz w:val="24"/>
        </w:rPr>
        <w:t>güvencesi</w:t>
      </w:r>
      <w:proofErr w:type="spellEnd"/>
      <w:r w:rsidRPr="0050080F">
        <w:rPr>
          <w:rFonts w:ascii="Times New Roman" w:hAnsi="Times New Roman" w:cs="Times New Roman"/>
          <w:sz w:val="24"/>
        </w:rPr>
        <w:t xml:space="preserve"> </w:t>
      </w:r>
      <w:proofErr w:type="spellStart"/>
      <w:r w:rsidRPr="0050080F">
        <w:rPr>
          <w:rFonts w:ascii="Times New Roman" w:hAnsi="Times New Roman" w:cs="Times New Roman"/>
          <w:sz w:val="24"/>
        </w:rPr>
        <w:t>çalışmaları</w:t>
      </w:r>
      <w:proofErr w:type="spellEnd"/>
      <w:r w:rsidRPr="0050080F">
        <w:rPr>
          <w:rFonts w:ascii="Times New Roman" w:hAnsi="Times New Roman" w:cs="Times New Roman"/>
          <w:sz w:val="24"/>
        </w:rPr>
        <w:t xml:space="preserve"> sorumlu </w:t>
      </w:r>
      <w:proofErr w:type="spellStart"/>
      <w:r w:rsidRPr="0050080F">
        <w:rPr>
          <w:rFonts w:ascii="Times New Roman" w:hAnsi="Times New Roman" w:cs="Times New Roman"/>
          <w:sz w:val="24"/>
        </w:rPr>
        <w:t>Rektör</w:t>
      </w:r>
      <w:proofErr w:type="spellEnd"/>
      <w:r w:rsidRPr="0050080F">
        <w:rPr>
          <w:rFonts w:ascii="Times New Roman" w:hAnsi="Times New Roman" w:cs="Times New Roman"/>
          <w:sz w:val="24"/>
        </w:rPr>
        <w:t xml:space="preserve"> Yardımcısı başkanlığında farklı bilim alanlarından akademik personel, idari personel ve öğrenci temsilcisinden oluşan Kalite Komisyonu ile "Liderlik, Yönetim ve Kalite", "Eğitim ve Öğretim", "Araştırma ve Geliştirme", "Toplumsal Katkı" alt çalışma üyelerinin bulunduğu 23 kişilik bir</w:t>
      </w:r>
      <w:r w:rsidR="00BF33C1" w:rsidRPr="0050080F">
        <w:rPr>
          <w:rFonts w:ascii="Times New Roman" w:hAnsi="Times New Roman" w:cs="Times New Roman"/>
          <w:sz w:val="24"/>
        </w:rPr>
        <w:t xml:space="preserve"> ekiple yürütülmektedir (A.1.4.</w:t>
      </w:r>
      <w:r w:rsidR="00321820" w:rsidRPr="0050080F">
        <w:rPr>
          <w:rFonts w:ascii="Times New Roman" w:hAnsi="Times New Roman" w:cs="Times New Roman"/>
          <w:sz w:val="24"/>
        </w:rPr>
        <w:t>4</w:t>
      </w:r>
      <w:r w:rsidRPr="0050080F">
        <w:rPr>
          <w:rFonts w:ascii="Times New Roman" w:hAnsi="Times New Roman" w:cs="Times New Roman"/>
          <w:sz w:val="24"/>
        </w:rPr>
        <w:t xml:space="preserve">). </w:t>
      </w:r>
      <w:proofErr w:type="gramEnd"/>
      <w:r w:rsidRPr="0050080F">
        <w:rPr>
          <w:rFonts w:ascii="Times New Roman" w:hAnsi="Times New Roman" w:cs="Times New Roman"/>
          <w:sz w:val="24"/>
        </w:rPr>
        <w:t>Kurul ve komisyonların birbirleri ile bağlantıları tanımlanmış, tüm birimlerimizde bu kurul ve komisyonlara bağlı ekipler oluşturulmuş, kurul, komisyon ve grup faaliyetlerinin standarda bağlanması amacıyla çalışma usul ve esasları hazırlanarak tüm çalışmalar belirlenen ta</w:t>
      </w:r>
      <w:r w:rsidR="00321820" w:rsidRPr="0050080F">
        <w:rPr>
          <w:rFonts w:ascii="Times New Roman" w:hAnsi="Times New Roman" w:cs="Times New Roman"/>
          <w:sz w:val="24"/>
        </w:rPr>
        <w:t>kvimle yürütülmektedir (A.1.4.5</w:t>
      </w:r>
      <w:r w:rsidRPr="0050080F">
        <w:rPr>
          <w:rFonts w:ascii="Times New Roman" w:hAnsi="Times New Roman" w:cs="Times New Roman"/>
          <w:sz w:val="24"/>
        </w:rPr>
        <w:t>).</w:t>
      </w:r>
      <w:r w:rsidR="00BF33C1" w:rsidRPr="0050080F">
        <w:rPr>
          <w:rFonts w:ascii="Times New Roman" w:hAnsi="Times New Roman" w:cs="Times New Roman"/>
          <w:sz w:val="24"/>
        </w:rPr>
        <w:t xml:space="preserve"> Kalite Komisyonunun görevleri ile çalışma usul ve esasları, “Selçuk Üniversitesi Kalite Güvencesi </w:t>
      </w:r>
      <w:proofErr w:type="spellStart"/>
      <w:r w:rsidR="00BF33C1" w:rsidRPr="0050080F">
        <w:rPr>
          <w:rFonts w:ascii="Times New Roman" w:hAnsi="Times New Roman" w:cs="Times New Roman"/>
          <w:sz w:val="24"/>
        </w:rPr>
        <w:t>Yönergesi”nin</w:t>
      </w:r>
      <w:proofErr w:type="spellEnd"/>
      <w:r w:rsidR="00BF33C1" w:rsidRPr="0050080F">
        <w:rPr>
          <w:rFonts w:ascii="Times New Roman" w:hAnsi="Times New Roman" w:cs="Times New Roman"/>
          <w:sz w:val="24"/>
        </w:rPr>
        <w:t xml:space="preserve"> 4.-8. maddeleri </w:t>
      </w:r>
      <w:r w:rsidR="00321820" w:rsidRPr="0050080F">
        <w:rPr>
          <w:rFonts w:ascii="Times New Roman" w:hAnsi="Times New Roman" w:cs="Times New Roman"/>
          <w:sz w:val="24"/>
        </w:rPr>
        <w:t>arasında tanımlanmıştır (A.1.4.6</w:t>
      </w:r>
      <w:r w:rsidR="00BF33C1" w:rsidRPr="0050080F">
        <w:rPr>
          <w:rFonts w:ascii="Times New Roman" w:hAnsi="Times New Roman" w:cs="Times New Roman"/>
          <w:sz w:val="24"/>
        </w:rPr>
        <w:t>).</w:t>
      </w:r>
    </w:p>
    <w:p w:rsidR="00BF460D" w:rsidRPr="0050080F" w:rsidRDefault="00BF33C1" w:rsidP="0050080F">
      <w:pPr>
        <w:spacing w:line="360" w:lineRule="auto"/>
        <w:jc w:val="both"/>
        <w:rPr>
          <w:rFonts w:ascii="Times New Roman" w:hAnsi="Times New Roman" w:cs="Times New Roman"/>
          <w:sz w:val="24"/>
        </w:rPr>
      </w:pPr>
      <w:r w:rsidRPr="0050080F">
        <w:rPr>
          <w:rFonts w:ascii="Times New Roman" w:hAnsi="Times New Roman" w:cs="Times New Roman"/>
          <w:sz w:val="24"/>
        </w:rPr>
        <w:t>Üniversitemiz İç Kalite Güvence Sistemi kapsamında “Planla-Uygula</w:t>
      </w:r>
      <w:r w:rsidR="00BF460D" w:rsidRPr="0050080F">
        <w:rPr>
          <w:rFonts w:ascii="Times New Roman" w:hAnsi="Times New Roman" w:cs="Times New Roman"/>
          <w:sz w:val="24"/>
        </w:rPr>
        <w:t>-</w:t>
      </w:r>
      <w:r w:rsidRPr="0050080F">
        <w:rPr>
          <w:rFonts w:ascii="Times New Roman" w:hAnsi="Times New Roman" w:cs="Times New Roman"/>
          <w:sz w:val="24"/>
        </w:rPr>
        <w:t>Kontrol Et-Önlem Al” döngüsü takip edilerek liderlik-yönetim-kalite, eğitim-öğretim, araştırma</w:t>
      </w:r>
      <w:r w:rsidR="00BF460D" w:rsidRPr="0050080F">
        <w:rPr>
          <w:rFonts w:ascii="Times New Roman" w:hAnsi="Times New Roman" w:cs="Times New Roman"/>
          <w:sz w:val="24"/>
        </w:rPr>
        <w:t>-</w:t>
      </w:r>
      <w:r w:rsidRPr="0050080F">
        <w:rPr>
          <w:rFonts w:ascii="Times New Roman" w:hAnsi="Times New Roman" w:cs="Times New Roman"/>
          <w:sz w:val="24"/>
        </w:rPr>
        <w:t>geliştirme ve toplumsa</w:t>
      </w:r>
      <w:r w:rsidR="00BF460D" w:rsidRPr="0050080F">
        <w:rPr>
          <w:rFonts w:ascii="Times New Roman" w:hAnsi="Times New Roman" w:cs="Times New Roman"/>
          <w:sz w:val="24"/>
        </w:rPr>
        <w:t xml:space="preserve">l katkı süreçleri izlenmektedir </w:t>
      </w:r>
      <w:r w:rsidR="00A32BB7" w:rsidRPr="0050080F">
        <w:rPr>
          <w:rFonts w:ascii="Times New Roman" w:hAnsi="Times New Roman" w:cs="Times New Roman"/>
          <w:sz w:val="24"/>
        </w:rPr>
        <w:t>(A.1.4.7</w:t>
      </w:r>
      <w:r w:rsidR="00BF460D" w:rsidRPr="0050080F">
        <w:rPr>
          <w:rFonts w:ascii="Times New Roman" w:hAnsi="Times New Roman" w:cs="Times New Roman"/>
          <w:sz w:val="24"/>
        </w:rPr>
        <w:t xml:space="preserve">). </w:t>
      </w:r>
      <w:r w:rsidRPr="0050080F">
        <w:rPr>
          <w:rFonts w:ascii="Times New Roman" w:hAnsi="Times New Roman" w:cs="Times New Roman"/>
          <w:sz w:val="24"/>
        </w:rPr>
        <w:t xml:space="preserve"> İdari karar mekanizmalarının kurum genelini kapsayacak şekilde uygulamaları yürütülmekte; süreç içerisinde ihtiy</w:t>
      </w:r>
      <w:r w:rsidR="00BF460D" w:rsidRPr="0050080F">
        <w:rPr>
          <w:rFonts w:ascii="Times New Roman" w:hAnsi="Times New Roman" w:cs="Times New Roman"/>
          <w:sz w:val="24"/>
        </w:rPr>
        <w:t>aç duyulan alanlar</w:t>
      </w:r>
      <w:r w:rsidR="003C6701" w:rsidRPr="0050080F">
        <w:rPr>
          <w:rFonts w:ascii="Times New Roman" w:hAnsi="Times New Roman" w:cs="Times New Roman"/>
          <w:sz w:val="24"/>
        </w:rPr>
        <w:t xml:space="preserve"> ilgili paydaşların görüşleri de dikkate alınarak</w:t>
      </w:r>
      <w:r w:rsidR="00BF460D" w:rsidRPr="0050080F">
        <w:rPr>
          <w:rFonts w:ascii="Times New Roman" w:hAnsi="Times New Roman" w:cs="Times New Roman"/>
          <w:sz w:val="24"/>
        </w:rPr>
        <w:t xml:space="preserve"> </w:t>
      </w:r>
      <w:r w:rsidR="00A32BB7" w:rsidRPr="0050080F">
        <w:rPr>
          <w:rFonts w:ascii="Times New Roman" w:hAnsi="Times New Roman" w:cs="Times New Roman"/>
          <w:sz w:val="24"/>
        </w:rPr>
        <w:t>geliştirilmektedir (A.1.4.8</w:t>
      </w:r>
      <w:r w:rsidR="003C6701" w:rsidRPr="0050080F">
        <w:rPr>
          <w:rFonts w:ascii="Times New Roman" w:hAnsi="Times New Roman" w:cs="Times New Roman"/>
          <w:sz w:val="24"/>
        </w:rPr>
        <w:t>; A.1.4.9</w:t>
      </w:r>
      <w:r w:rsidR="00BF460D" w:rsidRPr="0050080F">
        <w:rPr>
          <w:rFonts w:ascii="Times New Roman" w:hAnsi="Times New Roman" w:cs="Times New Roman"/>
          <w:sz w:val="24"/>
        </w:rPr>
        <w:t xml:space="preserve">).  </w:t>
      </w:r>
      <w:r w:rsidRPr="0050080F">
        <w:rPr>
          <w:rFonts w:ascii="Times New Roman" w:hAnsi="Times New Roman" w:cs="Times New Roman"/>
          <w:sz w:val="24"/>
        </w:rPr>
        <w:t xml:space="preserve"> PUKÖ döngülerinin tamamlanması ve izlenmesi kalite güvence sisteminin vazgeçilmez unsuru olarak görülmektedir.</w:t>
      </w:r>
      <w:r w:rsidR="00695E5A" w:rsidRPr="0050080F">
        <w:rPr>
          <w:rFonts w:ascii="Times New Roman" w:hAnsi="Times New Roman" w:cs="Times New Roman"/>
          <w:sz w:val="24"/>
        </w:rPr>
        <w:t xml:space="preserve"> Üniversitemizde PUKÖ çevrimleri hedef.selcuk.edu.tr altyapısında tanımlıdır. Hedef Performans Sistemi aracılığıyla Stratejik Plan’da belirlenen hedeflere yönelik gerçekleşen faaliyetlerin sorumlu birim tarafından girişi sağlanmaktadır (</w:t>
      </w:r>
      <w:r w:rsidR="003C6701" w:rsidRPr="0050080F">
        <w:rPr>
          <w:rFonts w:ascii="Times New Roman" w:hAnsi="Times New Roman" w:cs="Times New Roman"/>
          <w:sz w:val="24"/>
        </w:rPr>
        <w:t>A.1.4.10</w:t>
      </w:r>
      <w:r w:rsidR="00695E5A" w:rsidRPr="0050080F">
        <w:rPr>
          <w:rFonts w:ascii="Times New Roman" w:hAnsi="Times New Roman" w:cs="Times New Roman"/>
          <w:sz w:val="24"/>
        </w:rPr>
        <w:t>).</w:t>
      </w:r>
    </w:p>
    <w:p w:rsidR="00B852E1" w:rsidRPr="00B852E1" w:rsidRDefault="00B852E1" w:rsidP="00B852E1">
      <w:pPr>
        <w:spacing w:line="360" w:lineRule="auto"/>
        <w:jc w:val="both"/>
        <w:rPr>
          <w:rFonts w:ascii="Times New Roman" w:hAnsi="Times New Roman" w:cs="Times New Roman"/>
          <w:b/>
          <w:sz w:val="24"/>
        </w:rPr>
      </w:pPr>
      <w:r w:rsidRPr="00B852E1">
        <w:rPr>
          <w:rFonts w:ascii="Times New Roman" w:hAnsi="Times New Roman" w:cs="Times New Roman"/>
          <w:b/>
          <w:sz w:val="24"/>
        </w:rPr>
        <w:lastRenderedPageBreak/>
        <w:t>Olgunluk Düzeyi</w:t>
      </w:r>
    </w:p>
    <w:p w:rsidR="00B852E1" w:rsidRPr="00B852E1" w:rsidRDefault="00B852E1" w:rsidP="00B852E1">
      <w:pPr>
        <w:numPr>
          <w:ilvl w:val="0"/>
          <w:numId w:val="5"/>
        </w:numPr>
        <w:spacing w:line="360" w:lineRule="auto"/>
        <w:jc w:val="both"/>
        <w:rPr>
          <w:rFonts w:ascii="Times New Roman" w:hAnsi="Times New Roman" w:cs="Times New Roman"/>
          <w:sz w:val="24"/>
        </w:rPr>
      </w:pPr>
      <w:r w:rsidRPr="00B852E1">
        <w:rPr>
          <w:rFonts w:ascii="Times New Roman" w:hAnsi="Times New Roman" w:cs="Times New Roman"/>
          <w:sz w:val="24"/>
        </w:rPr>
        <w:t>Birimin tanımlanmış bir iç kalite güvencesi sistemi bulunmamaktadır.</w:t>
      </w:r>
    </w:p>
    <w:p w:rsidR="00B852E1" w:rsidRPr="00B852E1" w:rsidRDefault="00B852E1" w:rsidP="00B852E1">
      <w:pPr>
        <w:numPr>
          <w:ilvl w:val="0"/>
          <w:numId w:val="5"/>
        </w:numPr>
        <w:spacing w:line="360" w:lineRule="auto"/>
        <w:jc w:val="both"/>
        <w:rPr>
          <w:rFonts w:ascii="Times New Roman" w:hAnsi="Times New Roman" w:cs="Times New Roman"/>
          <w:sz w:val="24"/>
        </w:rPr>
      </w:pPr>
      <w:r w:rsidRPr="00B852E1">
        <w:rPr>
          <w:rFonts w:ascii="Times New Roman" w:hAnsi="Times New Roman" w:cs="Times New Roman"/>
          <w:sz w:val="24"/>
        </w:rPr>
        <w:t>Birimin iç kalite güvencesi süreç ve mekanizmaları tanımlanmıştır.</w:t>
      </w:r>
    </w:p>
    <w:p w:rsidR="00B852E1" w:rsidRPr="00B852E1" w:rsidRDefault="00B852E1" w:rsidP="00B852E1">
      <w:pPr>
        <w:numPr>
          <w:ilvl w:val="0"/>
          <w:numId w:val="5"/>
        </w:numPr>
        <w:spacing w:line="360" w:lineRule="auto"/>
        <w:jc w:val="both"/>
        <w:rPr>
          <w:rFonts w:ascii="Times New Roman" w:hAnsi="Times New Roman" w:cs="Times New Roman"/>
          <w:sz w:val="24"/>
        </w:rPr>
      </w:pPr>
      <w:r w:rsidRPr="00B852E1">
        <w:rPr>
          <w:rFonts w:ascii="Times New Roman" w:hAnsi="Times New Roman" w:cs="Times New Roman"/>
          <w:sz w:val="24"/>
        </w:rPr>
        <w:t>İç kalite güvencesi sistemi birimin geneline yayılmış, şeffaf ve bütüncül olarak yürütülmektedir.</w:t>
      </w:r>
    </w:p>
    <w:p w:rsidR="00B852E1" w:rsidRPr="00B852E1" w:rsidRDefault="00B852E1" w:rsidP="00B852E1">
      <w:pPr>
        <w:numPr>
          <w:ilvl w:val="0"/>
          <w:numId w:val="5"/>
        </w:numPr>
        <w:spacing w:line="360" w:lineRule="auto"/>
        <w:jc w:val="both"/>
        <w:rPr>
          <w:rFonts w:ascii="Times New Roman" w:hAnsi="Times New Roman" w:cs="Times New Roman"/>
          <w:sz w:val="24"/>
          <w:highlight w:val="lightGray"/>
        </w:rPr>
      </w:pPr>
      <w:r w:rsidRPr="00B852E1">
        <w:rPr>
          <w:rFonts w:ascii="Times New Roman" w:hAnsi="Times New Roman" w:cs="Times New Roman"/>
          <w:sz w:val="24"/>
          <w:highlight w:val="lightGray"/>
        </w:rPr>
        <w:t>İç kalite güvencesi sistemi mekanizmaları izlenmekte ve ilgili paydaşlarla birlikte iyileştirilmektedir.</w:t>
      </w:r>
    </w:p>
    <w:p w:rsidR="00B852E1" w:rsidRPr="00B852E1" w:rsidRDefault="00B852E1" w:rsidP="00B852E1">
      <w:pPr>
        <w:numPr>
          <w:ilvl w:val="0"/>
          <w:numId w:val="5"/>
        </w:numPr>
        <w:spacing w:line="360" w:lineRule="auto"/>
        <w:jc w:val="both"/>
        <w:rPr>
          <w:rFonts w:ascii="Times New Roman" w:hAnsi="Times New Roman" w:cs="Times New Roman"/>
          <w:sz w:val="24"/>
        </w:rPr>
      </w:pPr>
      <w:r w:rsidRPr="00B852E1">
        <w:rPr>
          <w:rFonts w:ascii="Times New Roman" w:hAnsi="Times New Roman" w:cs="Times New Roman"/>
          <w:sz w:val="24"/>
        </w:rPr>
        <w:t>İçselleştirilmiş, sistematik, sürdürülebilir ve örnek gösterilebilir uygulamalar bulunmaktadır.</w:t>
      </w:r>
    </w:p>
    <w:p w:rsidR="003C6701" w:rsidRPr="0050080F" w:rsidRDefault="005972B2" w:rsidP="0050080F">
      <w:pPr>
        <w:spacing w:line="360" w:lineRule="auto"/>
        <w:jc w:val="both"/>
        <w:rPr>
          <w:rFonts w:ascii="Times New Roman" w:hAnsi="Times New Roman" w:cs="Times New Roman"/>
          <w:sz w:val="24"/>
        </w:rPr>
      </w:pPr>
      <w:r w:rsidRPr="005972B2">
        <w:rPr>
          <w:rFonts w:ascii="Times New Roman" w:hAnsi="Times New Roman" w:cs="Times New Roman"/>
          <w:sz w:val="24"/>
          <w:highlight w:val="yellow"/>
        </w:rPr>
        <w:t xml:space="preserve">Olgunluk düzeyi yukarıdaki şekilde </w:t>
      </w:r>
      <w:r w:rsidR="00C11523">
        <w:rPr>
          <w:rFonts w:ascii="Times New Roman" w:hAnsi="Times New Roman" w:cs="Times New Roman"/>
          <w:sz w:val="24"/>
          <w:highlight w:val="yellow"/>
        </w:rPr>
        <w:t>gösterilmeli</w:t>
      </w:r>
      <w:r w:rsidRPr="005972B2">
        <w:rPr>
          <w:rFonts w:ascii="Times New Roman" w:hAnsi="Times New Roman" w:cs="Times New Roman"/>
          <w:sz w:val="24"/>
          <w:highlight w:val="yellow"/>
        </w:rPr>
        <w:t xml:space="preserve"> ve diğer olgunluk düzeyleri silinmemelidir.</w:t>
      </w:r>
    </w:p>
    <w:p w:rsidR="0003570B" w:rsidRDefault="00BF460D" w:rsidP="0050080F">
      <w:pPr>
        <w:spacing w:line="360" w:lineRule="auto"/>
        <w:jc w:val="both"/>
        <w:rPr>
          <w:rFonts w:ascii="Times New Roman" w:hAnsi="Times New Roman" w:cs="Times New Roman"/>
          <w:b/>
          <w:sz w:val="24"/>
        </w:rPr>
      </w:pPr>
      <w:r w:rsidRPr="0050080F">
        <w:rPr>
          <w:rFonts w:ascii="Times New Roman" w:hAnsi="Times New Roman" w:cs="Times New Roman"/>
          <w:b/>
          <w:sz w:val="24"/>
        </w:rPr>
        <w:t>Kanıtlar</w:t>
      </w:r>
      <w:r w:rsidR="003D7755">
        <w:rPr>
          <w:rFonts w:ascii="Times New Roman" w:hAnsi="Times New Roman" w:cs="Times New Roman"/>
          <w:b/>
          <w:sz w:val="24"/>
        </w:rPr>
        <w:t xml:space="preserve"> </w:t>
      </w:r>
    </w:p>
    <w:p w:rsidR="00BF460D" w:rsidRPr="0050080F" w:rsidRDefault="00C11523" w:rsidP="0050080F">
      <w:pPr>
        <w:spacing w:line="360" w:lineRule="auto"/>
        <w:jc w:val="both"/>
        <w:rPr>
          <w:rFonts w:ascii="Times New Roman" w:hAnsi="Times New Roman" w:cs="Times New Roman"/>
          <w:sz w:val="24"/>
          <w:u w:val="single"/>
        </w:rPr>
      </w:pPr>
      <w:hyperlink r:id="rId5" w:history="1">
        <w:r w:rsidR="00BF460D" w:rsidRPr="006A736F">
          <w:rPr>
            <w:rStyle w:val="Kpr"/>
            <w:rFonts w:ascii="Times New Roman" w:hAnsi="Times New Roman" w:cs="Times New Roman"/>
            <w:sz w:val="24"/>
          </w:rPr>
          <w:t>A.1.4.1.Kalite</w:t>
        </w:r>
        <w:r w:rsidR="00321820" w:rsidRPr="006A736F">
          <w:rPr>
            <w:rStyle w:val="Kpr"/>
            <w:rFonts w:ascii="Times New Roman" w:hAnsi="Times New Roman" w:cs="Times New Roman"/>
            <w:sz w:val="24"/>
          </w:rPr>
          <w:t xml:space="preserve"> P</w:t>
        </w:r>
        <w:r w:rsidR="00BF460D" w:rsidRPr="006A736F">
          <w:rPr>
            <w:rStyle w:val="Kpr"/>
            <w:rFonts w:ascii="Times New Roman" w:hAnsi="Times New Roman" w:cs="Times New Roman"/>
            <w:sz w:val="24"/>
          </w:rPr>
          <w:t>olitikası</w:t>
        </w:r>
      </w:hyperlink>
      <w:bookmarkStart w:id="0" w:name="_GoBack"/>
      <w:bookmarkEnd w:id="0"/>
    </w:p>
    <w:p w:rsidR="00BF460D" w:rsidRPr="0050080F" w:rsidRDefault="00C11523" w:rsidP="0050080F">
      <w:pPr>
        <w:spacing w:line="360" w:lineRule="auto"/>
        <w:jc w:val="both"/>
        <w:rPr>
          <w:rFonts w:ascii="Times New Roman" w:hAnsi="Times New Roman" w:cs="Times New Roman"/>
          <w:sz w:val="24"/>
          <w:u w:val="single"/>
        </w:rPr>
      </w:pPr>
      <w:hyperlink r:id="rId6" w:history="1">
        <w:r w:rsidR="00BF460D" w:rsidRPr="006A736F">
          <w:rPr>
            <w:rStyle w:val="Kpr"/>
            <w:rFonts w:ascii="Times New Roman" w:hAnsi="Times New Roman" w:cs="Times New Roman"/>
            <w:sz w:val="24"/>
          </w:rPr>
          <w:t>A.1.4.2</w:t>
        </w:r>
        <w:r w:rsidR="00321820" w:rsidRPr="006A736F">
          <w:rPr>
            <w:rStyle w:val="Kpr"/>
            <w:rFonts w:ascii="Times New Roman" w:hAnsi="Times New Roman" w:cs="Times New Roman"/>
            <w:sz w:val="24"/>
          </w:rPr>
          <w:t>.Stratejik Plan Amaç ve Hedefleri</w:t>
        </w:r>
      </w:hyperlink>
      <w:r w:rsidR="008C74FB">
        <w:rPr>
          <w:rFonts w:ascii="Times New Roman" w:hAnsi="Times New Roman" w:cs="Times New Roman"/>
          <w:sz w:val="24"/>
          <w:u w:val="single"/>
        </w:rPr>
        <w:t xml:space="preserve"> (10. Sayfa)</w:t>
      </w:r>
    </w:p>
    <w:p w:rsidR="00321820" w:rsidRPr="0050080F" w:rsidRDefault="00C11523" w:rsidP="0050080F">
      <w:pPr>
        <w:spacing w:line="360" w:lineRule="auto"/>
        <w:jc w:val="both"/>
        <w:rPr>
          <w:rFonts w:ascii="Times New Roman" w:hAnsi="Times New Roman" w:cs="Times New Roman"/>
          <w:sz w:val="24"/>
          <w:u w:val="single"/>
        </w:rPr>
      </w:pPr>
      <w:hyperlink r:id="rId7" w:history="1">
        <w:r w:rsidR="00321820" w:rsidRPr="008C74FB">
          <w:rPr>
            <w:rStyle w:val="Kpr"/>
            <w:rFonts w:ascii="Times New Roman" w:hAnsi="Times New Roman" w:cs="Times New Roman"/>
            <w:sz w:val="24"/>
          </w:rPr>
          <w:t>A.1.4.3.Performans Göstergeleri İzleme ve Değerlendirme Süreçleri</w:t>
        </w:r>
      </w:hyperlink>
    </w:p>
    <w:p w:rsidR="00321820" w:rsidRPr="0050080F" w:rsidRDefault="00C11523" w:rsidP="0050080F">
      <w:pPr>
        <w:spacing w:line="360" w:lineRule="auto"/>
        <w:jc w:val="both"/>
        <w:rPr>
          <w:rFonts w:ascii="Times New Roman" w:hAnsi="Times New Roman" w:cs="Times New Roman"/>
          <w:sz w:val="24"/>
          <w:u w:val="single"/>
        </w:rPr>
      </w:pPr>
      <w:hyperlink r:id="rId8" w:history="1">
        <w:r w:rsidR="00321820" w:rsidRPr="006A736F">
          <w:rPr>
            <w:rStyle w:val="Kpr"/>
            <w:rFonts w:ascii="Times New Roman" w:hAnsi="Times New Roman" w:cs="Times New Roman"/>
            <w:sz w:val="24"/>
          </w:rPr>
          <w:t>A.1.4.4.Kalite Komisyonu</w:t>
        </w:r>
      </w:hyperlink>
    </w:p>
    <w:p w:rsidR="00BF460D" w:rsidRPr="0050080F" w:rsidRDefault="00C11523" w:rsidP="0050080F">
      <w:pPr>
        <w:spacing w:line="360" w:lineRule="auto"/>
        <w:jc w:val="both"/>
        <w:rPr>
          <w:rFonts w:ascii="Times New Roman" w:hAnsi="Times New Roman" w:cs="Times New Roman"/>
          <w:sz w:val="24"/>
          <w:u w:val="single"/>
        </w:rPr>
      </w:pPr>
      <w:hyperlink r:id="rId9" w:history="1">
        <w:r w:rsidR="00321820" w:rsidRPr="006A736F">
          <w:rPr>
            <w:rStyle w:val="Kpr"/>
            <w:rFonts w:ascii="Times New Roman" w:hAnsi="Times New Roman" w:cs="Times New Roman"/>
            <w:sz w:val="24"/>
          </w:rPr>
          <w:t>A.1.4.5.Çalışma Takvimi</w:t>
        </w:r>
      </w:hyperlink>
    </w:p>
    <w:p w:rsidR="00321820" w:rsidRPr="0050080F" w:rsidRDefault="00C11523" w:rsidP="0050080F">
      <w:pPr>
        <w:spacing w:line="360" w:lineRule="auto"/>
        <w:jc w:val="both"/>
        <w:rPr>
          <w:rFonts w:ascii="Times New Roman" w:hAnsi="Times New Roman" w:cs="Times New Roman"/>
          <w:sz w:val="24"/>
          <w:u w:val="single"/>
        </w:rPr>
      </w:pPr>
      <w:hyperlink r:id="rId10" w:history="1">
        <w:r w:rsidR="00321820" w:rsidRPr="006A736F">
          <w:rPr>
            <w:rStyle w:val="Kpr"/>
            <w:rFonts w:ascii="Times New Roman" w:hAnsi="Times New Roman" w:cs="Times New Roman"/>
            <w:sz w:val="24"/>
          </w:rPr>
          <w:t>A.1.4.6.Kalite Komisyonu Çalışma Usul ve Esasları</w:t>
        </w:r>
      </w:hyperlink>
    </w:p>
    <w:p w:rsidR="00321820" w:rsidRPr="0050080F" w:rsidRDefault="00C11523" w:rsidP="0050080F">
      <w:pPr>
        <w:spacing w:line="360" w:lineRule="auto"/>
        <w:jc w:val="both"/>
        <w:rPr>
          <w:rFonts w:ascii="Times New Roman" w:hAnsi="Times New Roman" w:cs="Times New Roman"/>
          <w:sz w:val="24"/>
          <w:u w:val="single"/>
        </w:rPr>
      </w:pPr>
      <w:hyperlink r:id="rId11" w:history="1">
        <w:r w:rsidR="00A32BB7" w:rsidRPr="008C74FB">
          <w:rPr>
            <w:rStyle w:val="Kpr"/>
            <w:rFonts w:ascii="Times New Roman" w:hAnsi="Times New Roman" w:cs="Times New Roman"/>
            <w:sz w:val="24"/>
          </w:rPr>
          <w:t>A.1.4.7.Süreç Takibi</w:t>
        </w:r>
      </w:hyperlink>
    </w:p>
    <w:p w:rsidR="00A32BB7" w:rsidRPr="0050080F" w:rsidRDefault="00A32BB7" w:rsidP="0050080F">
      <w:pPr>
        <w:spacing w:line="360" w:lineRule="auto"/>
        <w:jc w:val="both"/>
        <w:rPr>
          <w:rFonts w:ascii="Times New Roman" w:hAnsi="Times New Roman" w:cs="Times New Roman"/>
          <w:sz w:val="24"/>
          <w:u w:val="single"/>
        </w:rPr>
      </w:pPr>
      <w:r w:rsidRPr="0050080F">
        <w:rPr>
          <w:rFonts w:ascii="Times New Roman" w:hAnsi="Times New Roman" w:cs="Times New Roman"/>
          <w:sz w:val="24"/>
          <w:u w:val="single"/>
        </w:rPr>
        <w:t>A.1.4.8.Kalite Komisyonu Toplantı Karar Tutanağı</w:t>
      </w:r>
    </w:p>
    <w:p w:rsidR="00A32BB7" w:rsidRPr="0050080F" w:rsidRDefault="00C11523" w:rsidP="0050080F">
      <w:pPr>
        <w:spacing w:line="360" w:lineRule="auto"/>
        <w:jc w:val="both"/>
        <w:rPr>
          <w:rFonts w:ascii="Times New Roman" w:hAnsi="Times New Roman" w:cs="Times New Roman"/>
          <w:sz w:val="24"/>
          <w:u w:val="single"/>
        </w:rPr>
      </w:pPr>
      <w:hyperlink r:id="rId12" w:history="1">
        <w:r w:rsidR="00374C0E" w:rsidRPr="008C74FB">
          <w:rPr>
            <w:rStyle w:val="Kpr"/>
            <w:rFonts w:ascii="Times New Roman" w:hAnsi="Times New Roman" w:cs="Times New Roman"/>
            <w:sz w:val="24"/>
          </w:rPr>
          <w:t>A.1.4.9.</w:t>
        </w:r>
        <w:r w:rsidR="003C6701" w:rsidRPr="008C74FB">
          <w:rPr>
            <w:rStyle w:val="Kpr"/>
            <w:rFonts w:ascii="Times New Roman" w:hAnsi="Times New Roman" w:cs="Times New Roman"/>
            <w:sz w:val="24"/>
          </w:rPr>
          <w:t>Paydaş Katılımı</w:t>
        </w:r>
      </w:hyperlink>
    </w:p>
    <w:p w:rsidR="0003570B" w:rsidRDefault="00C11523" w:rsidP="0050080F">
      <w:pPr>
        <w:spacing w:line="360" w:lineRule="auto"/>
        <w:jc w:val="both"/>
        <w:rPr>
          <w:rFonts w:ascii="Times New Roman" w:hAnsi="Times New Roman" w:cs="Times New Roman"/>
          <w:sz w:val="24"/>
          <w:u w:val="single"/>
        </w:rPr>
      </w:pPr>
      <w:hyperlink r:id="rId13" w:history="1">
        <w:r w:rsidR="003C6701" w:rsidRPr="008C74FB">
          <w:rPr>
            <w:rStyle w:val="Kpr"/>
            <w:rFonts w:ascii="Times New Roman" w:hAnsi="Times New Roman" w:cs="Times New Roman"/>
            <w:sz w:val="24"/>
          </w:rPr>
          <w:t>A.1.4.10.Hedef Performans Sistemi</w:t>
        </w:r>
      </w:hyperlink>
    </w:p>
    <w:p w:rsidR="0003570B" w:rsidRPr="0003570B" w:rsidRDefault="0003570B" w:rsidP="0050080F">
      <w:pPr>
        <w:spacing w:line="360" w:lineRule="auto"/>
        <w:jc w:val="both"/>
        <w:rPr>
          <w:rFonts w:ascii="Times New Roman" w:hAnsi="Times New Roman" w:cs="Times New Roman"/>
          <w:sz w:val="24"/>
        </w:rPr>
      </w:pPr>
      <w:r w:rsidRPr="00007393">
        <w:rPr>
          <w:rFonts w:ascii="Times New Roman" w:hAnsi="Times New Roman" w:cs="Times New Roman"/>
          <w:b/>
          <w:sz w:val="24"/>
          <w:highlight w:val="yellow"/>
        </w:rPr>
        <w:t>AÇIKLAMA:</w:t>
      </w:r>
      <w:r w:rsidRPr="00B852E1">
        <w:rPr>
          <w:rFonts w:ascii="Times New Roman" w:hAnsi="Times New Roman" w:cs="Times New Roman"/>
          <w:sz w:val="24"/>
          <w:highlight w:val="yellow"/>
        </w:rPr>
        <w:t xml:space="preserve"> Kanıtlar metin içerisinde ilgili alt ölçüte atıf yapacak şekilde numaralandırılır. Kanıtlar kısmında </w:t>
      </w:r>
      <w:r w:rsidR="00B852E1" w:rsidRPr="00B852E1">
        <w:rPr>
          <w:rFonts w:ascii="Times New Roman" w:hAnsi="Times New Roman" w:cs="Times New Roman"/>
          <w:sz w:val="24"/>
          <w:highlight w:val="yellow"/>
        </w:rPr>
        <w:t>l</w:t>
      </w:r>
      <w:r w:rsidRPr="00B852E1">
        <w:rPr>
          <w:rFonts w:ascii="Times New Roman" w:hAnsi="Times New Roman" w:cs="Times New Roman"/>
          <w:sz w:val="24"/>
          <w:highlight w:val="yellow"/>
        </w:rPr>
        <w:t>inki verilecek olan bu kanıtlara örne</w:t>
      </w:r>
      <w:r w:rsidR="00B852E1" w:rsidRPr="00B852E1">
        <w:rPr>
          <w:rFonts w:ascii="Times New Roman" w:hAnsi="Times New Roman" w:cs="Times New Roman"/>
          <w:sz w:val="24"/>
          <w:highlight w:val="yellow"/>
        </w:rPr>
        <w:t>kte olduğu gibi isimler verilerek köprü oluşturulma</w:t>
      </w:r>
      <w:r w:rsidR="00B852E1" w:rsidRPr="005972B2">
        <w:rPr>
          <w:rFonts w:ascii="Times New Roman" w:hAnsi="Times New Roman" w:cs="Times New Roman"/>
          <w:sz w:val="24"/>
          <w:highlight w:val="yellow"/>
        </w:rPr>
        <w:t>lıdır.</w:t>
      </w:r>
      <w:r w:rsidR="005972B2" w:rsidRPr="005972B2">
        <w:rPr>
          <w:rFonts w:ascii="Times New Roman" w:hAnsi="Times New Roman" w:cs="Times New Roman"/>
          <w:sz w:val="24"/>
          <w:highlight w:val="yellow"/>
        </w:rPr>
        <w:t xml:space="preserve"> Kanıtlarda görsel dosyaların (</w:t>
      </w:r>
      <w:proofErr w:type="spellStart"/>
      <w:r w:rsidR="005972B2" w:rsidRPr="005972B2">
        <w:rPr>
          <w:rFonts w:ascii="Times New Roman" w:hAnsi="Times New Roman" w:cs="Times New Roman"/>
          <w:sz w:val="24"/>
          <w:highlight w:val="yellow"/>
        </w:rPr>
        <w:t>jpeg</w:t>
      </w:r>
      <w:proofErr w:type="spellEnd"/>
      <w:r w:rsidR="005972B2" w:rsidRPr="005972B2">
        <w:rPr>
          <w:rFonts w:ascii="Times New Roman" w:hAnsi="Times New Roman" w:cs="Times New Roman"/>
          <w:sz w:val="24"/>
          <w:highlight w:val="yellow"/>
        </w:rPr>
        <w:t xml:space="preserve">, </w:t>
      </w:r>
      <w:proofErr w:type="spellStart"/>
      <w:r w:rsidR="005972B2" w:rsidRPr="005972B2">
        <w:rPr>
          <w:rFonts w:ascii="Times New Roman" w:hAnsi="Times New Roman" w:cs="Times New Roman"/>
          <w:sz w:val="24"/>
          <w:highlight w:val="yellow"/>
        </w:rPr>
        <w:t>png</w:t>
      </w:r>
      <w:proofErr w:type="spellEnd"/>
      <w:r w:rsidR="005972B2" w:rsidRPr="005972B2">
        <w:rPr>
          <w:rFonts w:ascii="Times New Roman" w:hAnsi="Times New Roman" w:cs="Times New Roman"/>
          <w:sz w:val="24"/>
          <w:highlight w:val="yellow"/>
        </w:rPr>
        <w:t xml:space="preserve">, vb.) kullanımından kaçınılmalı ve mümkünse görselin bulunduğu web sayfası ve/veya ilgili kanıt </w:t>
      </w:r>
      <w:proofErr w:type="spellStart"/>
      <w:r w:rsidR="005972B2" w:rsidRPr="005972B2">
        <w:rPr>
          <w:rFonts w:ascii="Times New Roman" w:hAnsi="Times New Roman" w:cs="Times New Roman"/>
          <w:sz w:val="24"/>
          <w:highlight w:val="yellow"/>
        </w:rPr>
        <w:t>pdf</w:t>
      </w:r>
      <w:proofErr w:type="spellEnd"/>
      <w:r w:rsidR="005972B2" w:rsidRPr="005972B2">
        <w:rPr>
          <w:rFonts w:ascii="Times New Roman" w:hAnsi="Times New Roman" w:cs="Times New Roman"/>
          <w:sz w:val="24"/>
          <w:highlight w:val="yellow"/>
        </w:rPr>
        <w:t xml:space="preserve"> dosyasına dönüştürüldükten sonra oluşturulan bağlantı paylaşılmalıdır.</w:t>
      </w:r>
      <w:r w:rsidR="005972B2">
        <w:rPr>
          <w:rFonts w:ascii="Times New Roman" w:hAnsi="Times New Roman" w:cs="Times New Roman"/>
          <w:sz w:val="24"/>
        </w:rPr>
        <w:t xml:space="preserve"> </w:t>
      </w:r>
    </w:p>
    <w:sectPr w:rsidR="0003570B" w:rsidRPr="000357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5FA3"/>
    <w:multiLevelType w:val="hybridMultilevel"/>
    <w:tmpl w:val="ABE62DE4"/>
    <w:lvl w:ilvl="0" w:tplc="D43A6E9A">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51689D"/>
    <w:multiLevelType w:val="hybridMultilevel"/>
    <w:tmpl w:val="86389D00"/>
    <w:lvl w:ilvl="0" w:tplc="FE361DD0">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DC44DE"/>
    <w:multiLevelType w:val="multilevel"/>
    <w:tmpl w:val="8370DB0E"/>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3852CDE"/>
    <w:multiLevelType w:val="hybridMultilevel"/>
    <w:tmpl w:val="D102BEC4"/>
    <w:lvl w:ilvl="0" w:tplc="DC449D92">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DF"/>
    <w:rsid w:val="00007393"/>
    <w:rsid w:val="0003570B"/>
    <w:rsid w:val="0007114E"/>
    <w:rsid w:val="00321820"/>
    <w:rsid w:val="00374C0E"/>
    <w:rsid w:val="003C6701"/>
    <w:rsid w:val="003D7755"/>
    <w:rsid w:val="0050080F"/>
    <w:rsid w:val="00563225"/>
    <w:rsid w:val="005972B2"/>
    <w:rsid w:val="006818DF"/>
    <w:rsid w:val="00695E5A"/>
    <w:rsid w:val="006A736F"/>
    <w:rsid w:val="008C74FB"/>
    <w:rsid w:val="009A08D3"/>
    <w:rsid w:val="00A32BB7"/>
    <w:rsid w:val="00B852E1"/>
    <w:rsid w:val="00BF33C1"/>
    <w:rsid w:val="00BF460D"/>
    <w:rsid w:val="00C11523"/>
    <w:rsid w:val="00C31548"/>
    <w:rsid w:val="00DE3D6E"/>
    <w:rsid w:val="00E80B5B"/>
    <w:rsid w:val="00F773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67581-52B2-4187-B00F-302AD0CE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E3D6E"/>
    <w:pPr>
      <w:keepNext/>
      <w:keepLines/>
      <w:numPr>
        <w:numId w:val="3"/>
      </w:numPr>
      <w:spacing w:before="240" w:after="0" w:line="276" w:lineRule="auto"/>
      <w:ind w:hanging="360"/>
      <w:outlineLvl w:val="0"/>
    </w:pPr>
    <w:rPr>
      <w:rFonts w:ascii="Times New Roman" w:eastAsiaTheme="majorEastAsia" w:hAnsi="Times New Roman" w:cstheme="majorBidi"/>
      <w:b/>
      <w:sz w:val="24"/>
      <w:szCs w:val="32"/>
    </w:rPr>
  </w:style>
  <w:style w:type="paragraph" w:styleId="Balk2">
    <w:name w:val="heading 2"/>
    <w:basedOn w:val="Normal"/>
    <w:next w:val="Normal"/>
    <w:link w:val="Balk2Char"/>
    <w:uiPriority w:val="9"/>
    <w:unhideWhenUsed/>
    <w:qFormat/>
    <w:rsid w:val="00DE3D6E"/>
    <w:pPr>
      <w:keepNext/>
      <w:keepLines/>
      <w:tabs>
        <w:tab w:val="num" w:pos="720"/>
      </w:tabs>
      <w:spacing w:before="40" w:after="0" w:line="276" w:lineRule="auto"/>
      <w:ind w:left="720" w:hanging="360"/>
      <w:outlineLvl w:val="1"/>
    </w:pPr>
    <w:rPr>
      <w:rFonts w:ascii="Times New Roman" w:eastAsiaTheme="majorEastAsia" w:hAnsi="Times New Roman" w:cstheme="majorBidi"/>
      <w:b/>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E3D6E"/>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
    <w:rsid w:val="00DE3D6E"/>
    <w:rPr>
      <w:rFonts w:ascii="Times New Roman" w:eastAsiaTheme="majorEastAsia" w:hAnsi="Times New Roman" w:cstheme="majorBidi"/>
      <w:b/>
      <w:sz w:val="24"/>
      <w:szCs w:val="26"/>
    </w:rPr>
  </w:style>
  <w:style w:type="character" w:styleId="Kpr">
    <w:name w:val="Hyperlink"/>
    <w:basedOn w:val="VarsaylanParagrafYazTipi"/>
    <w:uiPriority w:val="99"/>
    <w:unhideWhenUsed/>
    <w:rsid w:val="006A73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cuk.edu.tr/Birim/idari-birimler/kalite_komisyonu/2430/komisyon-gorev-dagilimi/53024" TargetMode="External"/><Relationship Id="rId13" Type="http://schemas.openxmlformats.org/officeDocument/2006/relationships/hyperlink" Target="https://hedef.selcuk.edu.tr/" TargetMode="External"/><Relationship Id="rId3" Type="http://schemas.openxmlformats.org/officeDocument/2006/relationships/settings" Target="settings.xml"/><Relationship Id="rId7" Type="http://schemas.openxmlformats.org/officeDocument/2006/relationships/hyperlink" Target="file:///C:\Users\Admin\Downloads\Performans%20G%25C3%25B6stergeleri__10.pdf" TargetMode="External"/><Relationship Id="rId12" Type="http://schemas.openxmlformats.org/officeDocument/2006/relationships/hyperlink" Target="file:///C:\Users\Admin\Downloads\D%25C4%25B1%25C5%259F%20Payda%25C5%259F%20Toplant%25C4%25B1s%25C4%25B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sivadmin.selcuk.edu.tr/BirimDosyalar/Dosyalar/strateji_gelistirme/Selcuk%20Universitesi%202022-2026%20Stratejik%20Plan%C4%B1(3).pdf" TargetMode="External"/><Relationship Id="rId11" Type="http://schemas.openxmlformats.org/officeDocument/2006/relationships/hyperlink" Target="file:///C:\Users\Admin\Downloads\D%25C4%25B1%25C5%259F%20Payda%25C5%259F%20Toplant%25C4%25B1s%25C4%25B1.pdf" TargetMode="External"/><Relationship Id="rId5" Type="http://schemas.openxmlformats.org/officeDocument/2006/relationships/hyperlink" Target="https://selcuk.edu.tr/Birim/idari-birimler/kalite_komisyonu/2430/kalite-politikasi/50623" TargetMode="External"/><Relationship Id="rId15" Type="http://schemas.openxmlformats.org/officeDocument/2006/relationships/theme" Target="theme/theme1.xml"/><Relationship Id="rId10" Type="http://schemas.openxmlformats.org/officeDocument/2006/relationships/hyperlink" Target="https://selcuk.edu.tr/Birim/idari-birimler/kalite_komisyonu/2430/yonergeler/50608" TargetMode="External"/><Relationship Id="rId4" Type="http://schemas.openxmlformats.org/officeDocument/2006/relationships/webSettings" Target="webSettings.xml"/><Relationship Id="rId9" Type="http://schemas.openxmlformats.org/officeDocument/2006/relationships/hyperlink" Target="https://selcuk.edu.tr/Birim/idari-birimler/kalite_komisyonu/2430/calisma-takvimi/53203"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724</Words>
  <Characters>4128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2024-01-10T06:54:00Z</dcterms:created>
  <dcterms:modified xsi:type="dcterms:W3CDTF">2024-06-03T07:16:00Z</dcterms:modified>
</cp:coreProperties>
</file>